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CD0" w:rsidRPr="00782150" w:rsidRDefault="00A9024F" w:rsidP="00A9024F">
      <w:pPr>
        <w:spacing w:after="0"/>
        <w:jc w:val="center"/>
        <w:rPr>
          <w:b/>
          <w:sz w:val="28"/>
          <w:szCs w:val="28"/>
        </w:rPr>
      </w:pPr>
      <w:r w:rsidRPr="00782150">
        <w:rPr>
          <w:b/>
          <w:sz w:val="28"/>
          <w:szCs w:val="28"/>
        </w:rPr>
        <w:t>University of Colorado Denver | Anschutz Medical Campuses</w:t>
      </w:r>
    </w:p>
    <w:p w:rsidR="00A9024F" w:rsidRPr="00782150" w:rsidRDefault="00A9024F" w:rsidP="00A9024F">
      <w:pPr>
        <w:spacing w:after="0"/>
        <w:jc w:val="center"/>
        <w:rPr>
          <w:b/>
          <w:sz w:val="28"/>
          <w:szCs w:val="28"/>
        </w:rPr>
      </w:pPr>
      <w:r w:rsidRPr="00782150">
        <w:rPr>
          <w:b/>
          <w:sz w:val="28"/>
          <w:szCs w:val="28"/>
        </w:rPr>
        <w:t>Managing Student Fees</w:t>
      </w:r>
    </w:p>
    <w:p w:rsidR="00A9024F" w:rsidRPr="00782150" w:rsidRDefault="001E2BA6" w:rsidP="00A9024F">
      <w:pPr>
        <w:spacing w:after="0"/>
        <w:jc w:val="center"/>
        <w:rPr>
          <w:b/>
          <w:sz w:val="28"/>
          <w:szCs w:val="28"/>
        </w:rPr>
      </w:pPr>
      <w:r w:rsidRPr="00782150">
        <w:rPr>
          <w:b/>
          <w:sz w:val="28"/>
          <w:szCs w:val="28"/>
        </w:rPr>
        <w:t>Items to Remember at the Prior to End of Current Fiscal Year</w:t>
      </w:r>
    </w:p>
    <w:p w:rsidR="00A9024F" w:rsidRPr="00D9443C" w:rsidRDefault="00A9024F" w:rsidP="00A9024F">
      <w:pPr>
        <w:spacing w:after="0"/>
        <w:jc w:val="center"/>
        <w:rPr>
          <w:b/>
          <w:sz w:val="24"/>
          <w:szCs w:val="24"/>
        </w:rPr>
      </w:pPr>
    </w:p>
    <w:p w:rsidR="00066429" w:rsidRPr="00D9443C" w:rsidRDefault="00066429" w:rsidP="00DB4F82">
      <w:pPr>
        <w:pStyle w:val="ListParagraph"/>
        <w:numPr>
          <w:ilvl w:val="0"/>
          <w:numId w:val="1"/>
        </w:numPr>
        <w:spacing w:after="0"/>
        <w:rPr>
          <w:sz w:val="24"/>
          <w:szCs w:val="24"/>
        </w:rPr>
      </w:pPr>
      <w:r w:rsidRPr="00D9443C">
        <w:rPr>
          <w:rFonts w:cs="Arial"/>
          <w:b/>
          <w:color w:val="000000" w:themeColor="text1"/>
          <w:sz w:val="24"/>
          <w:szCs w:val="24"/>
        </w:rPr>
        <w:t>Student Fees</w:t>
      </w:r>
      <w:r w:rsidR="00274E5E" w:rsidRPr="00D9443C">
        <w:rPr>
          <w:rFonts w:cs="Arial"/>
          <w:b/>
          <w:color w:val="000000" w:themeColor="text1"/>
          <w:sz w:val="24"/>
          <w:szCs w:val="24"/>
        </w:rPr>
        <w:t xml:space="preserve"> and Reserve Speedtype Listing:  </w:t>
      </w:r>
      <w:r w:rsidR="006559AE" w:rsidRPr="00D9443C">
        <w:rPr>
          <w:sz w:val="24"/>
          <w:szCs w:val="24"/>
        </w:rPr>
        <w:t xml:space="preserve">The Finance Office </w:t>
      </w:r>
      <w:r w:rsidR="00274E5E" w:rsidRPr="00D9443C">
        <w:rPr>
          <w:sz w:val="24"/>
          <w:szCs w:val="24"/>
        </w:rPr>
        <w:t xml:space="preserve">previously sent each school, college, or administrative unit a listing of their student </w:t>
      </w:r>
      <w:r w:rsidR="006559AE" w:rsidRPr="00D9443C">
        <w:rPr>
          <w:sz w:val="24"/>
          <w:szCs w:val="24"/>
        </w:rPr>
        <w:t>fee speedtypes and any associated fee reserve speedtypes</w:t>
      </w:r>
      <w:r w:rsidR="00274E5E" w:rsidRPr="00D9443C">
        <w:rPr>
          <w:sz w:val="24"/>
          <w:szCs w:val="24"/>
        </w:rPr>
        <w:t xml:space="preserve"> for confirmation earlier in the fiscal year.  Notify Finance if there ha</w:t>
      </w:r>
      <w:r w:rsidR="0050511E" w:rsidRPr="00D9443C">
        <w:rPr>
          <w:sz w:val="24"/>
          <w:szCs w:val="24"/>
        </w:rPr>
        <w:t>ve</w:t>
      </w:r>
      <w:r w:rsidR="00274E5E" w:rsidRPr="00D9443C">
        <w:rPr>
          <w:sz w:val="24"/>
          <w:szCs w:val="24"/>
        </w:rPr>
        <w:t xml:space="preserve"> been any changes since the last confirmation as to how these speedtype are being used or if there are any missing speedtypes. </w:t>
      </w:r>
    </w:p>
    <w:p w:rsidR="00DB4F82" w:rsidRPr="00D9443C" w:rsidRDefault="00DB4F82" w:rsidP="00DB4F82">
      <w:pPr>
        <w:spacing w:after="0"/>
        <w:ind w:left="360"/>
        <w:rPr>
          <w:sz w:val="24"/>
          <w:szCs w:val="24"/>
        </w:rPr>
      </w:pPr>
    </w:p>
    <w:p w:rsidR="00A9024F" w:rsidRPr="00D9443C" w:rsidRDefault="001E2BA6" w:rsidP="00DB4F82">
      <w:pPr>
        <w:pStyle w:val="ListParagraph"/>
        <w:numPr>
          <w:ilvl w:val="0"/>
          <w:numId w:val="1"/>
        </w:numPr>
        <w:spacing w:after="0"/>
        <w:rPr>
          <w:sz w:val="24"/>
          <w:szCs w:val="24"/>
        </w:rPr>
      </w:pPr>
      <w:r w:rsidRPr="00D9443C">
        <w:rPr>
          <w:b/>
          <w:sz w:val="24"/>
          <w:szCs w:val="24"/>
        </w:rPr>
        <w:t>Review Your Student Fee Speedtypes –</w:t>
      </w:r>
      <w:r w:rsidRPr="00D9443C">
        <w:rPr>
          <w:sz w:val="24"/>
          <w:szCs w:val="24"/>
        </w:rPr>
        <w:t xml:space="preserve">Ensure expenses charged to a student </w:t>
      </w:r>
      <w:r w:rsidR="00441502" w:rsidRPr="00D9443C">
        <w:rPr>
          <w:sz w:val="24"/>
          <w:szCs w:val="24"/>
        </w:rPr>
        <w:t xml:space="preserve">fee </w:t>
      </w:r>
      <w:r w:rsidRPr="00D9443C">
        <w:rPr>
          <w:sz w:val="24"/>
          <w:szCs w:val="24"/>
        </w:rPr>
        <w:t xml:space="preserve">speedtype are related </w:t>
      </w:r>
      <w:r w:rsidR="00441502" w:rsidRPr="00D9443C">
        <w:rPr>
          <w:sz w:val="24"/>
          <w:szCs w:val="24"/>
        </w:rPr>
        <w:t>that fee’s activity only</w:t>
      </w:r>
      <w:r w:rsidRPr="00D9443C">
        <w:rPr>
          <w:sz w:val="24"/>
          <w:szCs w:val="24"/>
        </w:rPr>
        <w:t>.  C</w:t>
      </w:r>
      <w:r w:rsidR="00441502" w:rsidRPr="00D9443C">
        <w:rPr>
          <w:sz w:val="24"/>
          <w:szCs w:val="24"/>
        </w:rPr>
        <w:t>omingl</w:t>
      </w:r>
      <w:r w:rsidRPr="00D9443C">
        <w:rPr>
          <w:sz w:val="24"/>
          <w:szCs w:val="24"/>
        </w:rPr>
        <w:t xml:space="preserve">ing of </w:t>
      </w:r>
      <w:r w:rsidR="00441502" w:rsidRPr="00D9443C">
        <w:rPr>
          <w:sz w:val="24"/>
          <w:szCs w:val="24"/>
        </w:rPr>
        <w:t>unrelated financial activity</w:t>
      </w:r>
      <w:r w:rsidR="00FE6A01" w:rsidRPr="00D9443C">
        <w:rPr>
          <w:sz w:val="24"/>
          <w:szCs w:val="24"/>
        </w:rPr>
        <w:t xml:space="preserve"> </w:t>
      </w:r>
      <w:r w:rsidRPr="00D9443C">
        <w:rPr>
          <w:sz w:val="24"/>
          <w:szCs w:val="24"/>
        </w:rPr>
        <w:t xml:space="preserve">is unallowable </w:t>
      </w:r>
      <w:r w:rsidR="00FE6A01" w:rsidRPr="00D9443C">
        <w:rPr>
          <w:sz w:val="24"/>
          <w:szCs w:val="24"/>
        </w:rPr>
        <w:t>(</w:t>
      </w:r>
      <w:r w:rsidR="000B69BF" w:rsidRPr="00D9443C">
        <w:rPr>
          <w:sz w:val="24"/>
          <w:szCs w:val="24"/>
        </w:rPr>
        <w:t xml:space="preserve">for </w:t>
      </w:r>
      <w:r w:rsidR="00FE6A01" w:rsidRPr="00D9443C">
        <w:rPr>
          <w:sz w:val="24"/>
          <w:szCs w:val="24"/>
        </w:rPr>
        <w:t>examples of allowable and unallowable financial activity consult the “</w:t>
      </w:r>
      <w:r w:rsidR="00FE6A01" w:rsidRPr="00D9443C">
        <w:rPr>
          <w:i/>
          <w:sz w:val="24"/>
          <w:szCs w:val="24"/>
        </w:rPr>
        <w:t xml:space="preserve">Student Fee Request Submission Requirements and Process” </w:t>
      </w:r>
      <w:r w:rsidR="00FE6A01" w:rsidRPr="00D9443C">
        <w:rPr>
          <w:sz w:val="24"/>
          <w:szCs w:val="24"/>
        </w:rPr>
        <w:t>guidance</w:t>
      </w:r>
      <w:r w:rsidR="00C73D58" w:rsidRPr="00D9443C">
        <w:rPr>
          <w:sz w:val="24"/>
          <w:szCs w:val="24"/>
        </w:rPr>
        <w:t xml:space="preserve"> document – See web link below</w:t>
      </w:r>
      <w:r w:rsidRPr="00D9443C">
        <w:rPr>
          <w:sz w:val="24"/>
          <w:szCs w:val="24"/>
        </w:rPr>
        <w:t>)</w:t>
      </w:r>
      <w:r w:rsidR="00C73D58" w:rsidRPr="00D9443C">
        <w:rPr>
          <w:sz w:val="24"/>
          <w:szCs w:val="24"/>
        </w:rPr>
        <w:t>.</w:t>
      </w:r>
    </w:p>
    <w:p w:rsidR="0084026B" w:rsidRPr="00D9443C" w:rsidRDefault="0084026B" w:rsidP="0084026B">
      <w:pPr>
        <w:pStyle w:val="ListParagraph"/>
        <w:numPr>
          <w:ilvl w:val="0"/>
          <w:numId w:val="5"/>
        </w:numPr>
        <w:spacing w:after="0"/>
        <w:ind w:left="1440"/>
        <w:rPr>
          <w:sz w:val="24"/>
          <w:szCs w:val="24"/>
        </w:rPr>
      </w:pPr>
      <w:r w:rsidRPr="00D9443C">
        <w:rPr>
          <w:b/>
          <w:sz w:val="24"/>
          <w:szCs w:val="24"/>
        </w:rPr>
        <w:t>Cost Reimbursement</w:t>
      </w:r>
      <w:r w:rsidRPr="00D9443C">
        <w:rPr>
          <w:sz w:val="24"/>
          <w:szCs w:val="24"/>
        </w:rPr>
        <w:t xml:space="preserve"> – reimburse the student fee speedtype for any unallowable charges identified from your review </w:t>
      </w:r>
      <w:r w:rsidR="00274E5E" w:rsidRPr="00D9443C">
        <w:rPr>
          <w:sz w:val="24"/>
          <w:szCs w:val="24"/>
        </w:rPr>
        <w:t xml:space="preserve">prior to </w:t>
      </w:r>
      <w:r w:rsidRPr="00D9443C">
        <w:rPr>
          <w:sz w:val="24"/>
          <w:szCs w:val="24"/>
        </w:rPr>
        <w:t xml:space="preserve">fiscal year end close.  </w:t>
      </w:r>
    </w:p>
    <w:p w:rsidR="00DB4F82" w:rsidRPr="00D9443C" w:rsidRDefault="00DB4F82" w:rsidP="00DB4F82">
      <w:pPr>
        <w:spacing w:after="0"/>
        <w:ind w:left="360"/>
        <w:rPr>
          <w:sz w:val="24"/>
          <w:szCs w:val="24"/>
        </w:rPr>
      </w:pPr>
    </w:p>
    <w:p w:rsidR="00190707" w:rsidRPr="00D9443C" w:rsidRDefault="00190707" w:rsidP="00DB4F82">
      <w:pPr>
        <w:pStyle w:val="ListParagraph"/>
        <w:numPr>
          <w:ilvl w:val="0"/>
          <w:numId w:val="1"/>
        </w:numPr>
        <w:spacing w:after="0"/>
        <w:rPr>
          <w:sz w:val="24"/>
          <w:szCs w:val="24"/>
        </w:rPr>
      </w:pPr>
      <w:r w:rsidRPr="00D9443C">
        <w:rPr>
          <w:rFonts w:cs="Arial"/>
          <w:b/>
          <w:color w:val="000000" w:themeColor="text1"/>
          <w:sz w:val="24"/>
          <w:szCs w:val="24"/>
        </w:rPr>
        <w:t>Reserve Spending Plan</w:t>
      </w:r>
      <w:r w:rsidRPr="00D9443C">
        <w:rPr>
          <w:rFonts w:cs="Arial"/>
          <w:color w:val="000000" w:themeColor="text1"/>
          <w:sz w:val="24"/>
          <w:szCs w:val="24"/>
        </w:rPr>
        <w:t xml:space="preserve"> - </w:t>
      </w:r>
      <w:r w:rsidRPr="00D9443C">
        <w:rPr>
          <w:sz w:val="24"/>
          <w:szCs w:val="24"/>
        </w:rPr>
        <w:t xml:space="preserve">Before a reserve </w:t>
      </w:r>
      <w:r w:rsidR="009C7B27" w:rsidRPr="00D9443C">
        <w:rPr>
          <w:sz w:val="24"/>
          <w:szCs w:val="24"/>
        </w:rPr>
        <w:t xml:space="preserve">(Fund 72) </w:t>
      </w:r>
      <w:r w:rsidRPr="00D9443C">
        <w:rPr>
          <w:sz w:val="24"/>
          <w:szCs w:val="24"/>
        </w:rPr>
        <w:t xml:space="preserve">is established or supplemented via a carry forward or transfer, a spending plan must be approved by the applicable Senior Business Administrator on the Denver Campus, the Anschutz Medical Campus Senior Administrator, or Associate Vice Chancellor or above for administrative units via email and sent to the Finance Office by </w:t>
      </w:r>
      <w:r w:rsidR="00935660" w:rsidRPr="00D9443C">
        <w:rPr>
          <w:b/>
          <w:sz w:val="24"/>
          <w:szCs w:val="24"/>
        </w:rPr>
        <w:t>August 15</w:t>
      </w:r>
      <w:r w:rsidR="00935660" w:rsidRPr="00A342F2">
        <w:rPr>
          <w:b/>
          <w:sz w:val="24"/>
          <w:szCs w:val="24"/>
          <w:vertAlign w:val="superscript"/>
        </w:rPr>
        <w:t>th</w:t>
      </w:r>
      <w:r w:rsidRPr="00D9443C">
        <w:rPr>
          <w:sz w:val="24"/>
          <w:szCs w:val="24"/>
        </w:rPr>
        <w:t xml:space="preserve"> of each year.</w:t>
      </w:r>
    </w:p>
    <w:p w:rsidR="0091003D" w:rsidRPr="00D9443C" w:rsidRDefault="0044423C" w:rsidP="0044423C">
      <w:pPr>
        <w:pStyle w:val="ListParagraph"/>
        <w:numPr>
          <w:ilvl w:val="0"/>
          <w:numId w:val="5"/>
        </w:numPr>
        <w:spacing w:after="0"/>
        <w:ind w:firstLine="90"/>
        <w:rPr>
          <w:sz w:val="24"/>
          <w:szCs w:val="24"/>
        </w:rPr>
      </w:pPr>
      <w:r w:rsidRPr="00D9443C">
        <w:rPr>
          <w:b/>
          <w:sz w:val="24"/>
          <w:szCs w:val="24"/>
        </w:rPr>
        <w:t>Spending Plans</w:t>
      </w:r>
      <w:r w:rsidRPr="00D9443C">
        <w:rPr>
          <w:sz w:val="24"/>
          <w:szCs w:val="24"/>
        </w:rPr>
        <w:t xml:space="preserve"> - must include the balance at June 30, specify the amount anticipated to be spent in each of the next four fiscal years (if applicable), and includes a spending plan description.</w:t>
      </w:r>
    </w:p>
    <w:p w:rsidR="009C7B27" w:rsidRPr="00D9443C" w:rsidRDefault="009C7B27" w:rsidP="009C7B27">
      <w:pPr>
        <w:spacing w:after="0"/>
        <w:ind w:left="360"/>
        <w:rPr>
          <w:sz w:val="24"/>
          <w:szCs w:val="24"/>
        </w:rPr>
      </w:pPr>
    </w:p>
    <w:p w:rsidR="009C7B27" w:rsidRPr="00D9443C" w:rsidRDefault="009C7B27" w:rsidP="009C7B27">
      <w:pPr>
        <w:pStyle w:val="ListParagraph"/>
        <w:numPr>
          <w:ilvl w:val="0"/>
          <w:numId w:val="1"/>
        </w:numPr>
        <w:spacing w:after="0"/>
        <w:rPr>
          <w:sz w:val="24"/>
          <w:szCs w:val="24"/>
        </w:rPr>
      </w:pPr>
      <w:r w:rsidRPr="00D9443C">
        <w:rPr>
          <w:b/>
          <w:sz w:val="24"/>
          <w:szCs w:val="24"/>
        </w:rPr>
        <w:t>Cash Transfers</w:t>
      </w:r>
      <w:r w:rsidRPr="00D9443C">
        <w:rPr>
          <w:sz w:val="24"/>
          <w:szCs w:val="24"/>
        </w:rPr>
        <w:t xml:space="preserve"> – Only allowed from /to a student fee speedtype and the related Fund 72 reserve (1 to 1 relationship) with a pre-approved spending plan.</w:t>
      </w:r>
    </w:p>
    <w:p w:rsidR="00190707" w:rsidRPr="00D9443C" w:rsidRDefault="00190707" w:rsidP="0078357B">
      <w:pPr>
        <w:spacing w:after="0"/>
        <w:ind w:left="360"/>
        <w:rPr>
          <w:sz w:val="24"/>
          <w:szCs w:val="24"/>
        </w:rPr>
      </w:pPr>
    </w:p>
    <w:p w:rsidR="000377DE" w:rsidRPr="00D9443C" w:rsidRDefault="00B90552" w:rsidP="00DB4F82">
      <w:pPr>
        <w:pStyle w:val="ListParagraph"/>
        <w:numPr>
          <w:ilvl w:val="0"/>
          <w:numId w:val="1"/>
        </w:numPr>
        <w:spacing w:after="0"/>
        <w:rPr>
          <w:sz w:val="24"/>
          <w:szCs w:val="24"/>
        </w:rPr>
      </w:pPr>
      <w:r w:rsidRPr="00D9443C">
        <w:rPr>
          <w:b/>
          <w:sz w:val="24"/>
          <w:szCs w:val="24"/>
        </w:rPr>
        <w:t>Carryforward</w:t>
      </w:r>
      <w:r w:rsidR="00935660" w:rsidRPr="00D9443C">
        <w:rPr>
          <w:b/>
          <w:sz w:val="24"/>
          <w:szCs w:val="24"/>
        </w:rPr>
        <w:t>s</w:t>
      </w:r>
      <w:r w:rsidR="006C3D51" w:rsidRPr="00D9443C">
        <w:rPr>
          <w:b/>
          <w:sz w:val="24"/>
          <w:szCs w:val="24"/>
        </w:rPr>
        <w:t xml:space="preserve"> (Unspent Fee </w:t>
      </w:r>
      <w:r w:rsidR="00935660" w:rsidRPr="00D9443C">
        <w:rPr>
          <w:b/>
          <w:sz w:val="24"/>
          <w:szCs w:val="24"/>
        </w:rPr>
        <w:t>Budget</w:t>
      </w:r>
      <w:r w:rsidR="006C3D51" w:rsidRPr="00D9443C">
        <w:rPr>
          <w:b/>
          <w:sz w:val="24"/>
          <w:szCs w:val="24"/>
        </w:rPr>
        <w:t>)</w:t>
      </w:r>
      <w:r w:rsidRPr="00D9443C">
        <w:rPr>
          <w:sz w:val="24"/>
          <w:szCs w:val="24"/>
        </w:rPr>
        <w:t xml:space="preserve"> </w:t>
      </w:r>
      <w:r w:rsidR="009C7B27" w:rsidRPr="00D9443C">
        <w:rPr>
          <w:sz w:val="24"/>
          <w:szCs w:val="24"/>
        </w:rPr>
        <w:t xml:space="preserve"> </w:t>
      </w:r>
      <w:r w:rsidR="009C7B27" w:rsidRPr="00D9443C">
        <w:rPr>
          <w:b/>
          <w:sz w:val="24"/>
          <w:szCs w:val="24"/>
        </w:rPr>
        <w:t>At Fiscal Year End</w:t>
      </w:r>
      <w:r w:rsidR="006F5095" w:rsidRPr="00D9443C">
        <w:rPr>
          <w:sz w:val="24"/>
          <w:szCs w:val="24"/>
        </w:rPr>
        <w:t xml:space="preserve"> </w:t>
      </w:r>
    </w:p>
    <w:p w:rsidR="009C7B27" w:rsidRPr="00D9443C" w:rsidRDefault="009C7B27" w:rsidP="00DB4F82">
      <w:pPr>
        <w:pStyle w:val="ListParagraph"/>
        <w:numPr>
          <w:ilvl w:val="0"/>
          <w:numId w:val="3"/>
        </w:numPr>
        <w:spacing w:after="0"/>
        <w:rPr>
          <w:sz w:val="24"/>
          <w:szCs w:val="24"/>
        </w:rPr>
      </w:pPr>
      <w:r w:rsidRPr="00D9443C">
        <w:rPr>
          <w:sz w:val="24"/>
          <w:szCs w:val="24"/>
        </w:rPr>
        <w:t xml:space="preserve">All carryforward balances at the end of the year must have a specific spending plan in place detailing the use of these funds in the following fiscal year. Carry forward spending plans are due to the AVC of Budget by </w:t>
      </w:r>
      <w:r w:rsidRPr="00D9443C">
        <w:rPr>
          <w:b/>
          <w:sz w:val="24"/>
          <w:szCs w:val="24"/>
        </w:rPr>
        <w:t>August</w:t>
      </w:r>
      <w:r w:rsidRPr="00D9443C">
        <w:rPr>
          <w:b/>
          <w:spacing w:val="-25"/>
          <w:sz w:val="24"/>
          <w:szCs w:val="24"/>
        </w:rPr>
        <w:t xml:space="preserve"> </w:t>
      </w:r>
      <w:r w:rsidR="00D9443C">
        <w:rPr>
          <w:b/>
          <w:sz w:val="24"/>
          <w:szCs w:val="24"/>
        </w:rPr>
        <w:t>15</w:t>
      </w:r>
      <w:r w:rsidR="00D9443C" w:rsidRPr="00D9443C">
        <w:rPr>
          <w:b/>
          <w:sz w:val="24"/>
          <w:szCs w:val="24"/>
          <w:vertAlign w:val="superscript"/>
        </w:rPr>
        <w:t>th</w:t>
      </w:r>
      <w:r w:rsidR="00D9443C">
        <w:rPr>
          <w:b/>
          <w:sz w:val="24"/>
          <w:szCs w:val="24"/>
        </w:rPr>
        <w:t xml:space="preserve"> </w:t>
      </w:r>
    </w:p>
    <w:p w:rsidR="000377DE" w:rsidRPr="00D9443C" w:rsidRDefault="000377DE" w:rsidP="00DB4F82">
      <w:pPr>
        <w:pStyle w:val="ListParagraph"/>
        <w:numPr>
          <w:ilvl w:val="0"/>
          <w:numId w:val="3"/>
        </w:numPr>
        <w:spacing w:after="0"/>
        <w:rPr>
          <w:sz w:val="24"/>
          <w:szCs w:val="24"/>
        </w:rPr>
      </w:pPr>
      <w:r w:rsidRPr="00D9443C">
        <w:rPr>
          <w:sz w:val="24"/>
          <w:szCs w:val="24"/>
        </w:rPr>
        <w:t>Must be transferred back to the original speedtype that the carryforward was generated</w:t>
      </w:r>
      <w:r w:rsidRPr="00D9443C">
        <w:rPr>
          <w:spacing w:val="-16"/>
          <w:sz w:val="24"/>
          <w:szCs w:val="24"/>
        </w:rPr>
        <w:t xml:space="preserve"> </w:t>
      </w:r>
      <w:r w:rsidRPr="00D9443C">
        <w:rPr>
          <w:sz w:val="24"/>
          <w:szCs w:val="24"/>
        </w:rPr>
        <w:t>in</w:t>
      </w:r>
      <w:r w:rsidR="009C7B27" w:rsidRPr="00D9443C">
        <w:rPr>
          <w:sz w:val="24"/>
          <w:szCs w:val="24"/>
        </w:rPr>
        <w:t xml:space="preserve"> the following fiscal year</w:t>
      </w:r>
      <w:r w:rsidRPr="00D9443C">
        <w:rPr>
          <w:sz w:val="24"/>
          <w:szCs w:val="24"/>
        </w:rPr>
        <w:t>.</w:t>
      </w:r>
    </w:p>
    <w:p w:rsidR="00CC0CE4" w:rsidRPr="00D9443C" w:rsidRDefault="000377DE" w:rsidP="00DB4F82">
      <w:pPr>
        <w:pStyle w:val="ListParagraph"/>
        <w:numPr>
          <w:ilvl w:val="0"/>
          <w:numId w:val="3"/>
        </w:numPr>
        <w:spacing w:after="0"/>
        <w:rPr>
          <w:sz w:val="24"/>
          <w:szCs w:val="24"/>
        </w:rPr>
      </w:pPr>
      <w:r w:rsidRPr="00D9443C">
        <w:rPr>
          <w:sz w:val="24"/>
          <w:szCs w:val="24"/>
        </w:rPr>
        <w:t xml:space="preserve">If it appears that there is not an approved use of the carryforward funds after </w:t>
      </w:r>
      <w:r w:rsidR="00935660" w:rsidRPr="00D9443C">
        <w:rPr>
          <w:sz w:val="24"/>
          <w:szCs w:val="24"/>
        </w:rPr>
        <w:t xml:space="preserve">one </w:t>
      </w:r>
      <w:r w:rsidRPr="00D9443C">
        <w:rPr>
          <w:sz w:val="24"/>
          <w:szCs w:val="24"/>
        </w:rPr>
        <w:t>year, the fee must be reduced in the next fee cycle(s) to reflect actual/anticipated student fee expenses.</w:t>
      </w:r>
    </w:p>
    <w:p w:rsidR="00DB4F82" w:rsidRPr="00D9443C" w:rsidRDefault="00DB4F82" w:rsidP="00DB4F82">
      <w:pPr>
        <w:spacing w:after="0"/>
        <w:ind w:left="360"/>
        <w:rPr>
          <w:sz w:val="24"/>
          <w:szCs w:val="24"/>
        </w:rPr>
      </w:pPr>
    </w:p>
    <w:p w:rsidR="00DE45A5" w:rsidRPr="00D9443C" w:rsidRDefault="00DE45A5" w:rsidP="00DB4F82">
      <w:pPr>
        <w:pStyle w:val="ListParagraph"/>
        <w:numPr>
          <w:ilvl w:val="0"/>
          <w:numId w:val="1"/>
        </w:numPr>
        <w:spacing w:after="0"/>
        <w:rPr>
          <w:sz w:val="24"/>
          <w:szCs w:val="24"/>
        </w:rPr>
      </w:pPr>
      <w:r w:rsidRPr="00D9443C">
        <w:rPr>
          <w:b/>
          <w:sz w:val="24"/>
          <w:szCs w:val="24"/>
        </w:rPr>
        <w:t>Budget and Finance Support</w:t>
      </w:r>
      <w:r w:rsidRPr="00D9443C">
        <w:rPr>
          <w:sz w:val="24"/>
          <w:szCs w:val="24"/>
        </w:rPr>
        <w:t xml:space="preserve"> – Contact Budget and Finance for assistance</w:t>
      </w:r>
      <w:r w:rsidR="00771A77" w:rsidRPr="00D9443C">
        <w:rPr>
          <w:sz w:val="24"/>
          <w:szCs w:val="24"/>
        </w:rPr>
        <w:t xml:space="preserve"> with</w:t>
      </w:r>
      <w:r w:rsidRPr="00D9443C">
        <w:rPr>
          <w:sz w:val="24"/>
          <w:szCs w:val="24"/>
        </w:rPr>
        <w:t>:</w:t>
      </w:r>
    </w:p>
    <w:p w:rsidR="00DE45A5" w:rsidRPr="00D9443C" w:rsidRDefault="00DE45A5" w:rsidP="00DE45A5">
      <w:pPr>
        <w:pStyle w:val="ListParagraph"/>
        <w:numPr>
          <w:ilvl w:val="0"/>
          <w:numId w:val="4"/>
        </w:numPr>
        <w:spacing w:after="0"/>
        <w:ind w:left="1440"/>
        <w:rPr>
          <w:sz w:val="24"/>
          <w:szCs w:val="24"/>
        </w:rPr>
      </w:pPr>
      <w:r w:rsidRPr="00D9443C">
        <w:rPr>
          <w:sz w:val="24"/>
          <w:szCs w:val="24"/>
        </w:rPr>
        <w:t>R</w:t>
      </w:r>
      <w:r w:rsidR="00F93870" w:rsidRPr="00D9443C">
        <w:rPr>
          <w:sz w:val="24"/>
          <w:szCs w:val="24"/>
        </w:rPr>
        <w:t>econcil</w:t>
      </w:r>
      <w:r w:rsidRPr="00D9443C">
        <w:rPr>
          <w:sz w:val="24"/>
          <w:szCs w:val="24"/>
        </w:rPr>
        <w:t xml:space="preserve">ing student </w:t>
      </w:r>
      <w:r w:rsidR="00F93870" w:rsidRPr="00D9443C">
        <w:rPr>
          <w:sz w:val="24"/>
          <w:szCs w:val="24"/>
        </w:rPr>
        <w:t>fee</w:t>
      </w:r>
      <w:r w:rsidR="000527A4" w:rsidRPr="00D9443C">
        <w:rPr>
          <w:sz w:val="24"/>
          <w:szCs w:val="24"/>
        </w:rPr>
        <w:t xml:space="preserve"> </w:t>
      </w:r>
      <w:r w:rsidR="00D9443C" w:rsidRPr="00D9443C">
        <w:rPr>
          <w:sz w:val="24"/>
          <w:szCs w:val="24"/>
        </w:rPr>
        <w:t>r</w:t>
      </w:r>
      <w:r w:rsidR="000527A4" w:rsidRPr="00D9443C">
        <w:rPr>
          <w:sz w:val="24"/>
          <w:szCs w:val="24"/>
        </w:rPr>
        <w:t xml:space="preserve">evenue and expenses </w:t>
      </w:r>
      <w:r w:rsidRPr="00D9443C">
        <w:rPr>
          <w:sz w:val="24"/>
          <w:szCs w:val="24"/>
        </w:rPr>
        <w:t>recorded in the general ledger</w:t>
      </w:r>
      <w:r w:rsidR="00771A77" w:rsidRPr="00D9443C">
        <w:rPr>
          <w:sz w:val="24"/>
          <w:szCs w:val="24"/>
        </w:rPr>
        <w:t>.</w:t>
      </w:r>
    </w:p>
    <w:p w:rsidR="00DE45A5" w:rsidRPr="00D9443C" w:rsidRDefault="00DE45A5" w:rsidP="00DE45A5">
      <w:pPr>
        <w:pStyle w:val="ListParagraph"/>
        <w:numPr>
          <w:ilvl w:val="0"/>
          <w:numId w:val="4"/>
        </w:numPr>
        <w:spacing w:after="0"/>
        <w:ind w:left="1440"/>
        <w:rPr>
          <w:sz w:val="24"/>
          <w:szCs w:val="24"/>
        </w:rPr>
      </w:pPr>
      <w:r w:rsidRPr="00D9443C">
        <w:rPr>
          <w:sz w:val="24"/>
          <w:szCs w:val="24"/>
        </w:rPr>
        <w:t>Existing Cognos report to assist with student fee reconciliations</w:t>
      </w:r>
      <w:r w:rsidR="00771A77" w:rsidRPr="00D9443C">
        <w:rPr>
          <w:sz w:val="24"/>
          <w:szCs w:val="24"/>
        </w:rPr>
        <w:t>.</w:t>
      </w:r>
    </w:p>
    <w:p w:rsidR="00DE45A5" w:rsidRPr="00D9443C" w:rsidRDefault="00DE45A5" w:rsidP="00771A77">
      <w:pPr>
        <w:spacing w:after="0"/>
        <w:ind w:left="360"/>
        <w:rPr>
          <w:sz w:val="24"/>
          <w:szCs w:val="24"/>
        </w:rPr>
      </w:pPr>
    </w:p>
    <w:p w:rsidR="00604EC8" w:rsidRPr="00D9443C" w:rsidRDefault="00604EC8" w:rsidP="00604EC8">
      <w:pPr>
        <w:spacing w:after="0"/>
        <w:rPr>
          <w:sz w:val="24"/>
          <w:szCs w:val="24"/>
        </w:rPr>
      </w:pPr>
      <w:r w:rsidRPr="00D9443C">
        <w:rPr>
          <w:b/>
          <w:sz w:val="24"/>
          <w:szCs w:val="24"/>
        </w:rPr>
        <w:t xml:space="preserve">For more information on managing student fees, </w:t>
      </w:r>
      <w:r w:rsidR="00D47763" w:rsidRPr="00D9443C">
        <w:rPr>
          <w:b/>
          <w:sz w:val="24"/>
          <w:szCs w:val="24"/>
        </w:rPr>
        <w:t>view the following web</w:t>
      </w:r>
      <w:r w:rsidR="00DE45A5" w:rsidRPr="00D9443C">
        <w:rPr>
          <w:b/>
          <w:sz w:val="24"/>
          <w:szCs w:val="24"/>
        </w:rPr>
        <w:t xml:space="preserve"> </w:t>
      </w:r>
      <w:r w:rsidR="00D47763" w:rsidRPr="00D9443C">
        <w:rPr>
          <w:b/>
          <w:sz w:val="24"/>
          <w:szCs w:val="24"/>
        </w:rPr>
        <w:t>links</w:t>
      </w:r>
      <w:r w:rsidR="00D47763" w:rsidRPr="00D9443C">
        <w:rPr>
          <w:sz w:val="24"/>
          <w:szCs w:val="24"/>
        </w:rPr>
        <w:t>:</w:t>
      </w:r>
    </w:p>
    <w:p w:rsidR="00805616" w:rsidRPr="00332F37" w:rsidRDefault="00805616" w:rsidP="00805616">
      <w:pPr>
        <w:pStyle w:val="ListParagraph"/>
        <w:numPr>
          <w:ilvl w:val="0"/>
          <w:numId w:val="2"/>
        </w:numPr>
        <w:spacing w:after="0"/>
        <w:rPr>
          <w:sz w:val="24"/>
          <w:szCs w:val="24"/>
        </w:rPr>
      </w:pPr>
      <w:hyperlink r:id="rId5" w:history="1">
        <w:r w:rsidRPr="00332F37">
          <w:rPr>
            <w:rStyle w:val="Hyperlink"/>
            <w:sz w:val="24"/>
            <w:szCs w:val="24"/>
          </w:rPr>
          <w:t>Institutional Student Fee Pla</w:t>
        </w:r>
        <w:r w:rsidRPr="00332F37">
          <w:rPr>
            <w:rStyle w:val="Hyperlink"/>
            <w:sz w:val="24"/>
            <w:szCs w:val="24"/>
          </w:rPr>
          <w:t>n</w:t>
        </w:r>
      </w:hyperlink>
    </w:p>
    <w:p w:rsidR="00D47763" w:rsidRPr="00805616" w:rsidRDefault="00805616" w:rsidP="00805616">
      <w:pPr>
        <w:pStyle w:val="ListParagraph"/>
        <w:numPr>
          <w:ilvl w:val="0"/>
          <w:numId w:val="2"/>
        </w:numPr>
        <w:spacing w:after="0"/>
        <w:rPr>
          <w:sz w:val="24"/>
          <w:szCs w:val="24"/>
        </w:rPr>
      </w:pPr>
      <w:hyperlink r:id="rId6" w:history="1">
        <w:r w:rsidRPr="00272DE4">
          <w:rPr>
            <w:rStyle w:val="Hyperlink"/>
            <w:sz w:val="24"/>
            <w:szCs w:val="24"/>
          </w:rPr>
          <w:t>Student Fee Request Submission Req</w:t>
        </w:r>
        <w:r w:rsidRPr="00272DE4">
          <w:rPr>
            <w:rStyle w:val="Hyperlink"/>
            <w:sz w:val="24"/>
            <w:szCs w:val="24"/>
          </w:rPr>
          <w:t>u</w:t>
        </w:r>
        <w:r w:rsidRPr="00272DE4">
          <w:rPr>
            <w:rStyle w:val="Hyperlink"/>
            <w:sz w:val="24"/>
            <w:szCs w:val="24"/>
          </w:rPr>
          <w:t>irements and Process</w:t>
        </w:r>
      </w:hyperlink>
      <w:bookmarkStart w:id="0" w:name="_GoBack"/>
      <w:bookmarkEnd w:id="0"/>
    </w:p>
    <w:p w:rsidR="00D47763" w:rsidRPr="00B31411" w:rsidRDefault="00B31411" w:rsidP="00B31411">
      <w:pPr>
        <w:pStyle w:val="ListParagraph"/>
        <w:numPr>
          <w:ilvl w:val="0"/>
          <w:numId w:val="2"/>
        </w:numPr>
        <w:spacing w:after="0"/>
        <w:rPr>
          <w:sz w:val="24"/>
          <w:szCs w:val="24"/>
        </w:rPr>
      </w:pPr>
      <w:hyperlink r:id="rId7" w:history="1">
        <w:r w:rsidRPr="001F5E09">
          <w:rPr>
            <w:rStyle w:val="Hyperlink"/>
            <w:sz w:val="24"/>
            <w:szCs w:val="24"/>
          </w:rPr>
          <w:t>Reserve Funds and Reserve Fund Transfers Policy</w:t>
        </w:r>
      </w:hyperlink>
    </w:p>
    <w:sectPr w:rsidR="00D47763" w:rsidRPr="00B31411" w:rsidSect="00A902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DB5"/>
    <w:multiLevelType w:val="hybridMultilevel"/>
    <w:tmpl w:val="370422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DF424A"/>
    <w:multiLevelType w:val="hybridMultilevel"/>
    <w:tmpl w:val="D826DB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F874A3"/>
    <w:multiLevelType w:val="hybridMultilevel"/>
    <w:tmpl w:val="D756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40120"/>
    <w:multiLevelType w:val="hybridMultilevel"/>
    <w:tmpl w:val="7878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72A85"/>
    <w:multiLevelType w:val="hybridMultilevel"/>
    <w:tmpl w:val="8848C6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4F"/>
    <w:rsid w:val="00010C6A"/>
    <w:rsid w:val="00011376"/>
    <w:rsid w:val="0001216E"/>
    <w:rsid w:val="00016C42"/>
    <w:rsid w:val="00020418"/>
    <w:rsid w:val="000250B1"/>
    <w:rsid w:val="0002577A"/>
    <w:rsid w:val="00026B0C"/>
    <w:rsid w:val="00031EC6"/>
    <w:rsid w:val="00035586"/>
    <w:rsid w:val="0003704E"/>
    <w:rsid w:val="000377DE"/>
    <w:rsid w:val="000377F6"/>
    <w:rsid w:val="00037F9B"/>
    <w:rsid w:val="000418D1"/>
    <w:rsid w:val="00041EE7"/>
    <w:rsid w:val="00041F51"/>
    <w:rsid w:val="00045FD7"/>
    <w:rsid w:val="000467D4"/>
    <w:rsid w:val="00050E7A"/>
    <w:rsid w:val="00051DD8"/>
    <w:rsid w:val="000527A4"/>
    <w:rsid w:val="000548EB"/>
    <w:rsid w:val="00062EEB"/>
    <w:rsid w:val="000630AE"/>
    <w:rsid w:val="00064CF8"/>
    <w:rsid w:val="00066429"/>
    <w:rsid w:val="000700F8"/>
    <w:rsid w:val="00072D2C"/>
    <w:rsid w:val="000731AC"/>
    <w:rsid w:val="00081EF8"/>
    <w:rsid w:val="00085850"/>
    <w:rsid w:val="0008748C"/>
    <w:rsid w:val="0009134D"/>
    <w:rsid w:val="00094646"/>
    <w:rsid w:val="000A071E"/>
    <w:rsid w:val="000A3761"/>
    <w:rsid w:val="000A39F4"/>
    <w:rsid w:val="000B69BF"/>
    <w:rsid w:val="000C0903"/>
    <w:rsid w:val="000C20A2"/>
    <w:rsid w:val="000C3331"/>
    <w:rsid w:val="000D69AF"/>
    <w:rsid w:val="000D7543"/>
    <w:rsid w:val="000E0263"/>
    <w:rsid w:val="000E0D47"/>
    <w:rsid w:val="000E3DD3"/>
    <w:rsid w:val="000E79A5"/>
    <w:rsid w:val="000F1561"/>
    <w:rsid w:val="000F2511"/>
    <w:rsid w:val="000F2945"/>
    <w:rsid w:val="000F379B"/>
    <w:rsid w:val="000F5C51"/>
    <w:rsid w:val="000F6C17"/>
    <w:rsid w:val="00100A33"/>
    <w:rsid w:val="00100CFE"/>
    <w:rsid w:val="00101767"/>
    <w:rsid w:val="00111609"/>
    <w:rsid w:val="00114450"/>
    <w:rsid w:val="00115B9A"/>
    <w:rsid w:val="00115DBC"/>
    <w:rsid w:val="00121362"/>
    <w:rsid w:val="00122C7D"/>
    <w:rsid w:val="00123F25"/>
    <w:rsid w:val="00124714"/>
    <w:rsid w:val="00126A36"/>
    <w:rsid w:val="001300A5"/>
    <w:rsid w:val="00131068"/>
    <w:rsid w:val="00133452"/>
    <w:rsid w:val="00137EE0"/>
    <w:rsid w:val="00145E82"/>
    <w:rsid w:val="0014648C"/>
    <w:rsid w:val="00146C8E"/>
    <w:rsid w:val="001507C9"/>
    <w:rsid w:val="00160089"/>
    <w:rsid w:val="00162644"/>
    <w:rsid w:val="00164CF7"/>
    <w:rsid w:val="0016521C"/>
    <w:rsid w:val="00167967"/>
    <w:rsid w:val="00167B3E"/>
    <w:rsid w:val="00170B35"/>
    <w:rsid w:val="00171322"/>
    <w:rsid w:val="00173801"/>
    <w:rsid w:val="00176E5B"/>
    <w:rsid w:val="00182689"/>
    <w:rsid w:val="001833A4"/>
    <w:rsid w:val="00187308"/>
    <w:rsid w:val="00190707"/>
    <w:rsid w:val="00191E5B"/>
    <w:rsid w:val="00195B27"/>
    <w:rsid w:val="001965BE"/>
    <w:rsid w:val="001A14C9"/>
    <w:rsid w:val="001A158E"/>
    <w:rsid w:val="001A19F8"/>
    <w:rsid w:val="001A27DB"/>
    <w:rsid w:val="001A659F"/>
    <w:rsid w:val="001A7376"/>
    <w:rsid w:val="001A7732"/>
    <w:rsid w:val="001B4820"/>
    <w:rsid w:val="001B54DD"/>
    <w:rsid w:val="001B5D9C"/>
    <w:rsid w:val="001B673D"/>
    <w:rsid w:val="001C081C"/>
    <w:rsid w:val="001C0DE1"/>
    <w:rsid w:val="001C2FAA"/>
    <w:rsid w:val="001C55EB"/>
    <w:rsid w:val="001C709D"/>
    <w:rsid w:val="001D1862"/>
    <w:rsid w:val="001D24DD"/>
    <w:rsid w:val="001D2FD7"/>
    <w:rsid w:val="001D4631"/>
    <w:rsid w:val="001E2BA6"/>
    <w:rsid w:val="001E30A1"/>
    <w:rsid w:val="001E4919"/>
    <w:rsid w:val="001E5E38"/>
    <w:rsid w:val="001E6199"/>
    <w:rsid w:val="001F016A"/>
    <w:rsid w:val="001F2F44"/>
    <w:rsid w:val="001F603E"/>
    <w:rsid w:val="001F7093"/>
    <w:rsid w:val="00206E34"/>
    <w:rsid w:val="002229AC"/>
    <w:rsid w:val="0022320E"/>
    <w:rsid w:val="002241A8"/>
    <w:rsid w:val="002255A1"/>
    <w:rsid w:val="00236439"/>
    <w:rsid w:val="0024353F"/>
    <w:rsid w:val="0024505B"/>
    <w:rsid w:val="0024652B"/>
    <w:rsid w:val="00247450"/>
    <w:rsid w:val="002518F4"/>
    <w:rsid w:val="00256F00"/>
    <w:rsid w:val="002602EB"/>
    <w:rsid w:val="0026337D"/>
    <w:rsid w:val="002665FC"/>
    <w:rsid w:val="00270B52"/>
    <w:rsid w:val="0027196C"/>
    <w:rsid w:val="00273B6D"/>
    <w:rsid w:val="00274E5E"/>
    <w:rsid w:val="002752AD"/>
    <w:rsid w:val="00282544"/>
    <w:rsid w:val="002828E9"/>
    <w:rsid w:val="00282A6C"/>
    <w:rsid w:val="00285C7E"/>
    <w:rsid w:val="0028753B"/>
    <w:rsid w:val="00292531"/>
    <w:rsid w:val="00294B55"/>
    <w:rsid w:val="00295CC3"/>
    <w:rsid w:val="00297A30"/>
    <w:rsid w:val="002A0AC5"/>
    <w:rsid w:val="002A275E"/>
    <w:rsid w:val="002C01ED"/>
    <w:rsid w:val="002C53B7"/>
    <w:rsid w:val="002C692A"/>
    <w:rsid w:val="002D0927"/>
    <w:rsid w:val="002D609F"/>
    <w:rsid w:val="002E401B"/>
    <w:rsid w:val="002E4D5B"/>
    <w:rsid w:val="002E695A"/>
    <w:rsid w:val="002E7903"/>
    <w:rsid w:val="002F4184"/>
    <w:rsid w:val="00300AC5"/>
    <w:rsid w:val="00301B7D"/>
    <w:rsid w:val="00302F6B"/>
    <w:rsid w:val="00304150"/>
    <w:rsid w:val="003052BA"/>
    <w:rsid w:val="003060A9"/>
    <w:rsid w:val="0030683D"/>
    <w:rsid w:val="003140A8"/>
    <w:rsid w:val="00316098"/>
    <w:rsid w:val="00316D34"/>
    <w:rsid w:val="00316DD3"/>
    <w:rsid w:val="00317022"/>
    <w:rsid w:val="00324232"/>
    <w:rsid w:val="00325160"/>
    <w:rsid w:val="00325388"/>
    <w:rsid w:val="00340726"/>
    <w:rsid w:val="00340A5C"/>
    <w:rsid w:val="00340AEC"/>
    <w:rsid w:val="0034410D"/>
    <w:rsid w:val="00344E3B"/>
    <w:rsid w:val="00347A66"/>
    <w:rsid w:val="00350295"/>
    <w:rsid w:val="00350723"/>
    <w:rsid w:val="00353ADF"/>
    <w:rsid w:val="003552A2"/>
    <w:rsid w:val="00360EE1"/>
    <w:rsid w:val="003618A5"/>
    <w:rsid w:val="0036290C"/>
    <w:rsid w:val="0037080F"/>
    <w:rsid w:val="0037556B"/>
    <w:rsid w:val="003759F2"/>
    <w:rsid w:val="003769BB"/>
    <w:rsid w:val="0038534E"/>
    <w:rsid w:val="0039055C"/>
    <w:rsid w:val="00392DA6"/>
    <w:rsid w:val="003968AB"/>
    <w:rsid w:val="003A169F"/>
    <w:rsid w:val="003A299E"/>
    <w:rsid w:val="003A6C3D"/>
    <w:rsid w:val="003B0237"/>
    <w:rsid w:val="003B334B"/>
    <w:rsid w:val="003B5B89"/>
    <w:rsid w:val="003B7872"/>
    <w:rsid w:val="003C02C6"/>
    <w:rsid w:val="003C6D98"/>
    <w:rsid w:val="003D05EE"/>
    <w:rsid w:val="003D53DA"/>
    <w:rsid w:val="003D74A9"/>
    <w:rsid w:val="003E7091"/>
    <w:rsid w:val="003F09C7"/>
    <w:rsid w:val="003F28E5"/>
    <w:rsid w:val="003F5915"/>
    <w:rsid w:val="003F6CD5"/>
    <w:rsid w:val="004012A6"/>
    <w:rsid w:val="0040239F"/>
    <w:rsid w:val="0040315C"/>
    <w:rsid w:val="004049C7"/>
    <w:rsid w:val="004104FA"/>
    <w:rsid w:val="00413C79"/>
    <w:rsid w:val="00417B0E"/>
    <w:rsid w:val="00424B5B"/>
    <w:rsid w:val="00427896"/>
    <w:rsid w:val="0043294A"/>
    <w:rsid w:val="00434F87"/>
    <w:rsid w:val="00436A94"/>
    <w:rsid w:val="00441502"/>
    <w:rsid w:val="00443692"/>
    <w:rsid w:val="00443A90"/>
    <w:rsid w:val="0044423C"/>
    <w:rsid w:val="0044526E"/>
    <w:rsid w:val="00451656"/>
    <w:rsid w:val="004545B8"/>
    <w:rsid w:val="004555CF"/>
    <w:rsid w:val="0046100D"/>
    <w:rsid w:val="004613B0"/>
    <w:rsid w:val="004663CE"/>
    <w:rsid w:val="0047235A"/>
    <w:rsid w:val="00473DDC"/>
    <w:rsid w:val="0047640C"/>
    <w:rsid w:val="004801A4"/>
    <w:rsid w:val="004825E4"/>
    <w:rsid w:val="00483436"/>
    <w:rsid w:val="0048566E"/>
    <w:rsid w:val="00486C9F"/>
    <w:rsid w:val="00487812"/>
    <w:rsid w:val="00490935"/>
    <w:rsid w:val="00492AE3"/>
    <w:rsid w:val="00492F57"/>
    <w:rsid w:val="004A4604"/>
    <w:rsid w:val="004A6603"/>
    <w:rsid w:val="004B163B"/>
    <w:rsid w:val="004B7E9D"/>
    <w:rsid w:val="004C4115"/>
    <w:rsid w:val="004C4AAB"/>
    <w:rsid w:val="004D230E"/>
    <w:rsid w:val="004D325B"/>
    <w:rsid w:val="004D3AA8"/>
    <w:rsid w:val="004D5A6A"/>
    <w:rsid w:val="004D69BB"/>
    <w:rsid w:val="004D6F29"/>
    <w:rsid w:val="004E3676"/>
    <w:rsid w:val="004E3E38"/>
    <w:rsid w:val="004E44B3"/>
    <w:rsid w:val="004E6D60"/>
    <w:rsid w:val="004E7321"/>
    <w:rsid w:val="004F2E25"/>
    <w:rsid w:val="004F4C14"/>
    <w:rsid w:val="004F624C"/>
    <w:rsid w:val="00502139"/>
    <w:rsid w:val="005043AF"/>
    <w:rsid w:val="00504B4E"/>
    <w:rsid w:val="0050511E"/>
    <w:rsid w:val="0051080C"/>
    <w:rsid w:val="00514F71"/>
    <w:rsid w:val="005178BB"/>
    <w:rsid w:val="0052053F"/>
    <w:rsid w:val="00522F71"/>
    <w:rsid w:val="00527F1F"/>
    <w:rsid w:val="0053087C"/>
    <w:rsid w:val="00533FD3"/>
    <w:rsid w:val="00535FFA"/>
    <w:rsid w:val="005366B3"/>
    <w:rsid w:val="00536E18"/>
    <w:rsid w:val="005414F1"/>
    <w:rsid w:val="00547CDE"/>
    <w:rsid w:val="00555070"/>
    <w:rsid w:val="00555E1C"/>
    <w:rsid w:val="005640E7"/>
    <w:rsid w:val="00567944"/>
    <w:rsid w:val="00570AE0"/>
    <w:rsid w:val="0057294D"/>
    <w:rsid w:val="0058721D"/>
    <w:rsid w:val="00587EA5"/>
    <w:rsid w:val="00595841"/>
    <w:rsid w:val="005959D4"/>
    <w:rsid w:val="00595CEA"/>
    <w:rsid w:val="005A2E97"/>
    <w:rsid w:val="005A4277"/>
    <w:rsid w:val="005A45D8"/>
    <w:rsid w:val="005A63F5"/>
    <w:rsid w:val="005B1018"/>
    <w:rsid w:val="005B1299"/>
    <w:rsid w:val="005B35C5"/>
    <w:rsid w:val="005B6396"/>
    <w:rsid w:val="005B7534"/>
    <w:rsid w:val="005C4B24"/>
    <w:rsid w:val="005C64A4"/>
    <w:rsid w:val="005C6EB3"/>
    <w:rsid w:val="005C77AB"/>
    <w:rsid w:val="005D2044"/>
    <w:rsid w:val="005D254B"/>
    <w:rsid w:val="005D6241"/>
    <w:rsid w:val="005D7A56"/>
    <w:rsid w:val="005D7EE9"/>
    <w:rsid w:val="005E3FDE"/>
    <w:rsid w:val="005E47A2"/>
    <w:rsid w:val="005E7330"/>
    <w:rsid w:val="005F11A9"/>
    <w:rsid w:val="005F461A"/>
    <w:rsid w:val="00602A61"/>
    <w:rsid w:val="006046A8"/>
    <w:rsid w:val="00604EC8"/>
    <w:rsid w:val="00610C91"/>
    <w:rsid w:val="00610EF1"/>
    <w:rsid w:val="006119D5"/>
    <w:rsid w:val="00612020"/>
    <w:rsid w:val="0061320A"/>
    <w:rsid w:val="00613FF1"/>
    <w:rsid w:val="00616386"/>
    <w:rsid w:val="0063374A"/>
    <w:rsid w:val="006369AB"/>
    <w:rsid w:val="0064109B"/>
    <w:rsid w:val="00646418"/>
    <w:rsid w:val="00650908"/>
    <w:rsid w:val="00651DC0"/>
    <w:rsid w:val="006559AE"/>
    <w:rsid w:val="00657145"/>
    <w:rsid w:val="00657C14"/>
    <w:rsid w:val="00660605"/>
    <w:rsid w:val="0066342A"/>
    <w:rsid w:val="00663D71"/>
    <w:rsid w:val="006641DF"/>
    <w:rsid w:val="006648AE"/>
    <w:rsid w:val="0066559D"/>
    <w:rsid w:val="006667B6"/>
    <w:rsid w:val="00672DBB"/>
    <w:rsid w:val="00672E72"/>
    <w:rsid w:val="006738AB"/>
    <w:rsid w:val="006779EB"/>
    <w:rsid w:val="00677CC3"/>
    <w:rsid w:val="006826B6"/>
    <w:rsid w:val="00687E6B"/>
    <w:rsid w:val="00691219"/>
    <w:rsid w:val="006922EA"/>
    <w:rsid w:val="0069311C"/>
    <w:rsid w:val="0069580A"/>
    <w:rsid w:val="006A0C12"/>
    <w:rsid w:val="006A1E26"/>
    <w:rsid w:val="006A351B"/>
    <w:rsid w:val="006B001B"/>
    <w:rsid w:val="006B0B44"/>
    <w:rsid w:val="006B1D33"/>
    <w:rsid w:val="006B21D2"/>
    <w:rsid w:val="006C0D7C"/>
    <w:rsid w:val="006C1C12"/>
    <w:rsid w:val="006C37B9"/>
    <w:rsid w:val="006C3D51"/>
    <w:rsid w:val="006D07CA"/>
    <w:rsid w:val="006D1438"/>
    <w:rsid w:val="006D567E"/>
    <w:rsid w:val="006E721B"/>
    <w:rsid w:val="006F07B0"/>
    <w:rsid w:val="006F1111"/>
    <w:rsid w:val="006F27EF"/>
    <w:rsid w:val="006F3A07"/>
    <w:rsid w:val="006F5095"/>
    <w:rsid w:val="006F5D0A"/>
    <w:rsid w:val="006F5E94"/>
    <w:rsid w:val="006F63EF"/>
    <w:rsid w:val="006F71AE"/>
    <w:rsid w:val="006F7D9B"/>
    <w:rsid w:val="00700938"/>
    <w:rsid w:val="00703457"/>
    <w:rsid w:val="00703B14"/>
    <w:rsid w:val="00704CE2"/>
    <w:rsid w:val="007055E7"/>
    <w:rsid w:val="0071087E"/>
    <w:rsid w:val="00711C39"/>
    <w:rsid w:val="00712266"/>
    <w:rsid w:val="00712BEC"/>
    <w:rsid w:val="00716C82"/>
    <w:rsid w:val="00726E7C"/>
    <w:rsid w:val="007274E0"/>
    <w:rsid w:val="00727A8C"/>
    <w:rsid w:val="0073075A"/>
    <w:rsid w:val="00733ABE"/>
    <w:rsid w:val="007474D7"/>
    <w:rsid w:val="007505CE"/>
    <w:rsid w:val="007548BE"/>
    <w:rsid w:val="00757A72"/>
    <w:rsid w:val="00762C54"/>
    <w:rsid w:val="00763EF9"/>
    <w:rsid w:val="0076617F"/>
    <w:rsid w:val="00766659"/>
    <w:rsid w:val="00767AC6"/>
    <w:rsid w:val="00771A77"/>
    <w:rsid w:val="00771DCE"/>
    <w:rsid w:val="00775185"/>
    <w:rsid w:val="00776184"/>
    <w:rsid w:val="00776313"/>
    <w:rsid w:val="00776827"/>
    <w:rsid w:val="00776CC7"/>
    <w:rsid w:val="007800C7"/>
    <w:rsid w:val="007806D2"/>
    <w:rsid w:val="0078159A"/>
    <w:rsid w:val="00782150"/>
    <w:rsid w:val="0078357B"/>
    <w:rsid w:val="00795318"/>
    <w:rsid w:val="00797925"/>
    <w:rsid w:val="00797CDD"/>
    <w:rsid w:val="007A3AEF"/>
    <w:rsid w:val="007C2C9A"/>
    <w:rsid w:val="007C45AC"/>
    <w:rsid w:val="007C525C"/>
    <w:rsid w:val="007C584D"/>
    <w:rsid w:val="007D33C3"/>
    <w:rsid w:val="007D406C"/>
    <w:rsid w:val="007D4766"/>
    <w:rsid w:val="007D55FE"/>
    <w:rsid w:val="007D6BAB"/>
    <w:rsid w:val="007D74E5"/>
    <w:rsid w:val="007D7E3A"/>
    <w:rsid w:val="007E0D4A"/>
    <w:rsid w:val="007E2DD5"/>
    <w:rsid w:val="007E4722"/>
    <w:rsid w:val="007E51B6"/>
    <w:rsid w:val="007E74DF"/>
    <w:rsid w:val="007F41F8"/>
    <w:rsid w:val="007F4D52"/>
    <w:rsid w:val="007F6E7D"/>
    <w:rsid w:val="007F783B"/>
    <w:rsid w:val="00805616"/>
    <w:rsid w:val="0080608A"/>
    <w:rsid w:val="0080772A"/>
    <w:rsid w:val="00815362"/>
    <w:rsid w:val="00820711"/>
    <w:rsid w:val="0082339A"/>
    <w:rsid w:val="00824D95"/>
    <w:rsid w:val="008265E3"/>
    <w:rsid w:val="008275AE"/>
    <w:rsid w:val="008325DB"/>
    <w:rsid w:val="00832B41"/>
    <w:rsid w:val="008377B0"/>
    <w:rsid w:val="00837BE7"/>
    <w:rsid w:val="00837DC2"/>
    <w:rsid w:val="0084026B"/>
    <w:rsid w:val="008451E3"/>
    <w:rsid w:val="00850B83"/>
    <w:rsid w:val="00853595"/>
    <w:rsid w:val="008536EE"/>
    <w:rsid w:val="00854CEC"/>
    <w:rsid w:val="00854F71"/>
    <w:rsid w:val="008554FF"/>
    <w:rsid w:val="008609D5"/>
    <w:rsid w:val="00862584"/>
    <w:rsid w:val="0086415B"/>
    <w:rsid w:val="0086487C"/>
    <w:rsid w:val="00865C70"/>
    <w:rsid w:val="00865C91"/>
    <w:rsid w:val="00876E8B"/>
    <w:rsid w:val="00877098"/>
    <w:rsid w:val="00880802"/>
    <w:rsid w:val="00883A56"/>
    <w:rsid w:val="00883CB0"/>
    <w:rsid w:val="0089766A"/>
    <w:rsid w:val="008A0DFF"/>
    <w:rsid w:val="008A5279"/>
    <w:rsid w:val="008B2A70"/>
    <w:rsid w:val="008B2CC6"/>
    <w:rsid w:val="008B6AC6"/>
    <w:rsid w:val="008C18A9"/>
    <w:rsid w:val="008C4BD6"/>
    <w:rsid w:val="008C6EFC"/>
    <w:rsid w:val="008D0632"/>
    <w:rsid w:val="008E6311"/>
    <w:rsid w:val="008F2E02"/>
    <w:rsid w:val="00900675"/>
    <w:rsid w:val="009017A1"/>
    <w:rsid w:val="00901BF0"/>
    <w:rsid w:val="009022CA"/>
    <w:rsid w:val="00905110"/>
    <w:rsid w:val="0091003D"/>
    <w:rsid w:val="009140F9"/>
    <w:rsid w:val="0091503F"/>
    <w:rsid w:val="00916347"/>
    <w:rsid w:val="009215CD"/>
    <w:rsid w:val="00922B03"/>
    <w:rsid w:val="00922FCB"/>
    <w:rsid w:val="0092463C"/>
    <w:rsid w:val="00924A4F"/>
    <w:rsid w:val="009269C0"/>
    <w:rsid w:val="00935660"/>
    <w:rsid w:val="00937E7F"/>
    <w:rsid w:val="00937FAF"/>
    <w:rsid w:val="00940B88"/>
    <w:rsid w:val="009423E3"/>
    <w:rsid w:val="00943C75"/>
    <w:rsid w:val="009458C6"/>
    <w:rsid w:val="009550FE"/>
    <w:rsid w:val="00956FD8"/>
    <w:rsid w:val="009609A3"/>
    <w:rsid w:val="00962955"/>
    <w:rsid w:val="00962B29"/>
    <w:rsid w:val="00967FBD"/>
    <w:rsid w:val="00970693"/>
    <w:rsid w:val="0097075C"/>
    <w:rsid w:val="0097099D"/>
    <w:rsid w:val="00972568"/>
    <w:rsid w:val="00973770"/>
    <w:rsid w:val="009773D4"/>
    <w:rsid w:val="00983C47"/>
    <w:rsid w:val="00983EE3"/>
    <w:rsid w:val="009909DB"/>
    <w:rsid w:val="00990CF4"/>
    <w:rsid w:val="0099326E"/>
    <w:rsid w:val="00996085"/>
    <w:rsid w:val="009961F4"/>
    <w:rsid w:val="009A0005"/>
    <w:rsid w:val="009A1AD4"/>
    <w:rsid w:val="009A2A88"/>
    <w:rsid w:val="009A5363"/>
    <w:rsid w:val="009A69B9"/>
    <w:rsid w:val="009A74D5"/>
    <w:rsid w:val="009A7B5B"/>
    <w:rsid w:val="009A7E45"/>
    <w:rsid w:val="009B397E"/>
    <w:rsid w:val="009B3D58"/>
    <w:rsid w:val="009C4ECB"/>
    <w:rsid w:val="009C6165"/>
    <w:rsid w:val="009C689E"/>
    <w:rsid w:val="009C7B27"/>
    <w:rsid w:val="009D0E8B"/>
    <w:rsid w:val="009D4241"/>
    <w:rsid w:val="009D6B3A"/>
    <w:rsid w:val="009E090F"/>
    <w:rsid w:val="009E2A11"/>
    <w:rsid w:val="009F2B8F"/>
    <w:rsid w:val="009F37A6"/>
    <w:rsid w:val="009F6E59"/>
    <w:rsid w:val="009F78B7"/>
    <w:rsid w:val="00A000B4"/>
    <w:rsid w:val="00A118FC"/>
    <w:rsid w:val="00A1463B"/>
    <w:rsid w:val="00A14FBA"/>
    <w:rsid w:val="00A21AB2"/>
    <w:rsid w:val="00A22A4A"/>
    <w:rsid w:val="00A23EED"/>
    <w:rsid w:val="00A25601"/>
    <w:rsid w:val="00A260A7"/>
    <w:rsid w:val="00A278FC"/>
    <w:rsid w:val="00A342F2"/>
    <w:rsid w:val="00A349A8"/>
    <w:rsid w:val="00A35AB9"/>
    <w:rsid w:val="00A41B51"/>
    <w:rsid w:val="00A4488B"/>
    <w:rsid w:val="00A45692"/>
    <w:rsid w:val="00A54A91"/>
    <w:rsid w:val="00A54B75"/>
    <w:rsid w:val="00A55E4D"/>
    <w:rsid w:val="00A5690C"/>
    <w:rsid w:val="00A56DBE"/>
    <w:rsid w:val="00A56E6D"/>
    <w:rsid w:val="00A638C3"/>
    <w:rsid w:val="00A644E3"/>
    <w:rsid w:val="00A66D6A"/>
    <w:rsid w:val="00A67C28"/>
    <w:rsid w:val="00A722E5"/>
    <w:rsid w:val="00A76E57"/>
    <w:rsid w:val="00A77BA9"/>
    <w:rsid w:val="00A80300"/>
    <w:rsid w:val="00A804CE"/>
    <w:rsid w:val="00A828AA"/>
    <w:rsid w:val="00A84588"/>
    <w:rsid w:val="00A84C73"/>
    <w:rsid w:val="00A9024F"/>
    <w:rsid w:val="00A943ED"/>
    <w:rsid w:val="00A953D6"/>
    <w:rsid w:val="00AA1888"/>
    <w:rsid w:val="00AA291F"/>
    <w:rsid w:val="00AA6721"/>
    <w:rsid w:val="00AA74E2"/>
    <w:rsid w:val="00AB407A"/>
    <w:rsid w:val="00AB434B"/>
    <w:rsid w:val="00AC3433"/>
    <w:rsid w:val="00AD117A"/>
    <w:rsid w:val="00AD1CF3"/>
    <w:rsid w:val="00AD2701"/>
    <w:rsid w:val="00AD3EE6"/>
    <w:rsid w:val="00AD40BB"/>
    <w:rsid w:val="00AD5FE4"/>
    <w:rsid w:val="00AE093B"/>
    <w:rsid w:val="00AF1606"/>
    <w:rsid w:val="00AF18CA"/>
    <w:rsid w:val="00AF51A5"/>
    <w:rsid w:val="00AF7007"/>
    <w:rsid w:val="00B026D8"/>
    <w:rsid w:val="00B0355D"/>
    <w:rsid w:val="00B114BC"/>
    <w:rsid w:val="00B13D82"/>
    <w:rsid w:val="00B163A4"/>
    <w:rsid w:val="00B1692B"/>
    <w:rsid w:val="00B16B40"/>
    <w:rsid w:val="00B20258"/>
    <w:rsid w:val="00B20B67"/>
    <w:rsid w:val="00B2458E"/>
    <w:rsid w:val="00B2513F"/>
    <w:rsid w:val="00B26A6A"/>
    <w:rsid w:val="00B30D2C"/>
    <w:rsid w:val="00B31411"/>
    <w:rsid w:val="00B421FE"/>
    <w:rsid w:val="00B45D92"/>
    <w:rsid w:val="00B55E76"/>
    <w:rsid w:val="00B56DFF"/>
    <w:rsid w:val="00B6413A"/>
    <w:rsid w:val="00B6663E"/>
    <w:rsid w:val="00B712D9"/>
    <w:rsid w:val="00B80C02"/>
    <w:rsid w:val="00B815D2"/>
    <w:rsid w:val="00B84D0B"/>
    <w:rsid w:val="00B90552"/>
    <w:rsid w:val="00B93414"/>
    <w:rsid w:val="00BA1559"/>
    <w:rsid w:val="00BA3E06"/>
    <w:rsid w:val="00BA6B2B"/>
    <w:rsid w:val="00BA6F07"/>
    <w:rsid w:val="00BB0263"/>
    <w:rsid w:val="00BB3010"/>
    <w:rsid w:val="00BB53F3"/>
    <w:rsid w:val="00BC5603"/>
    <w:rsid w:val="00BC615F"/>
    <w:rsid w:val="00BC72E8"/>
    <w:rsid w:val="00BC794A"/>
    <w:rsid w:val="00BD1395"/>
    <w:rsid w:val="00BD34A2"/>
    <w:rsid w:val="00BD3919"/>
    <w:rsid w:val="00BE3330"/>
    <w:rsid w:val="00BE5425"/>
    <w:rsid w:val="00BF49A8"/>
    <w:rsid w:val="00BF4ECA"/>
    <w:rsid w:val="00BF69D7"/>
    <w:rsid w:val="00BF6DC2"/>
    <w:rsid w:val="00BF7424"/>
    <w:rsid w:val="00C0010C"/>
    <w:rsid w:val="00C01124"/>
    <w:rsid w:val="00C02FC7"/>
    <w:rsid w:val="00C04648"/>
    <w:rsid w:val="00C07E27"/>
    <w:rsid w:val="00C10433"/>
    <w:rsid w:val="00C12F87"/>
    <w:rsid w:val="00C205CB"/>
    <w:rsid w:val="00C22202"/>
    <w:rsid w:val="00C22C47"/>
    <w:rsid w:val="00C2507B"/>
    <w:rsid w:val="00C261C6"/>
    <w:rsid w:val="00C30AAE"/>
    <w:rsid w:val="00C318CE"/>
    <w:rsid w:val="00C322C2"/>
    <w:rsid w:val="00C3319B"/>
    <w:rsid w:val="00C34529"/>
    <w:rsid w:val="00C34EAC"/>
    <w:rsid w:val="00C41987"/>
    <w:rsid w:val="00C429DB"/>
    <w:rsid w:val="00C45628"/>
    <w:rsid w:val="00C46F34"/>
    <w:rsid w:val="00C50950"/>
    <w:rsid w:val="00C52F10"/>
    <w:rsid w:val="00C60510"/>
    <w:rsid w:val="00C611D2"/>
    <w:rsid w:val="00C622F5"/>
    <w:rsid w:val="00C63881"/>
    <w:rsid w:val="00C640A4"/>
    <w:rsid w:val="00C645F9"/>
    <w:rsid w:val="00C64C96"/>
    <w:rsid w:val="00C65897"/>
    <w:rsid w:val="00C66C17"/>
    <w:rsid w:val="00C7082D"/>
    <w:rsid w:val="00C70919"/>
    <w:rsid w:val="00C71E64"/>
    <w:rsid w:val="00C7293D"/>
    <w:rsid w:val="00C73D58"/>
    <w:rsid w:val="00C760B4"/>
    <w:rsid w:val="00C7746A"/>
    <w:rsid w:val="00C84685"/>
    <w:rsid w:val="00C86999"/>
    <w:rsid w:val="00C8786C"/>
    <w:rsid w:val="00C90C60"/>
    <w:rsid w:val="00C917DD"/>
    <w:rsid w:val="00C9440F"/>
    <w:rsid w:val="00CA2553"/>
    <w:rsid w:val="00CA40A1"/>
    <w:rsid w:val="00CB156D"/>
    <w:rsid w:val="00CB304D"/>
    <w:rsid w:val="00CB4364"/>
    <w:rsid w:val="00CC0CE4"/>
    <w:rsid w:val="00CC1FE4"/>
    <w:rsid w:val="00CD3E70"/>
    <w:rsid w:val="00CD7149"/>
    <w:rsid w:val="00CE1E09"/>
    <w:rsid w:val="00CF116A"/>
    <w:rsid w:val="00CF21A1"/>
    <w:rsid w:val="00CF7751"/>
    <w:rsid w:val="00CF7984"/>
    <w:rsid w:val="00CF7E1E"/>
    <w:rsid w:val="00D01E35"/>
    <w:rsid w:val="00D04DDA"/>
    <w:rsid w:val="00D10EC4"/>
    <w:rsid w:val="00D125E0"/>
    <w:rsid w:val="00D14CCA"/>
    <w:rsid w:val="00D162AC"/>
    <w:rsid w:val="00D234F7"/>
    <w:rsid w:val="00D24B9F"/>
    <w:rsid w:val="00D3103D"/>
    <w:rsid w:val="00D31D09"/>
    <w:rsid w:val="00D35780"/>
    <w:rsid w:val="00D40373"/>
    <w:rsid w:val="00D40A80"/>
    <w:rsid w:val="00D43A06"/>
    <w:rsid w:val="00D47763"/>
    <w:rsid w:val="00D501D2"/>
    <w:rsid w:val="00D50BE3"/>
    <w:rsid w:val="00D51CFC"/>
    <w:rsid w:val="00D5200D"/>
    <w:rsid w:val="00D526C7"/>
    <w:rsid w:val="00D53743"/>
    <w:rsid w:val="00D557EC"/>
    <w:rsid w:val="00D56650"/>
    <w:rsid w:val="00D5786B"/>
    <w:rsid w:val="00D62163"/>
    <w:rsid w:val="00D6402A"/>
    <w:rsid w:val="00D70D55"/>
    <w:rsid w:val="00D718E6"/>
    <w:rsid w:val="00D73A29"/>
    <w:rsid w:val="00D7407E"/>
    <w:rsid w:val="00D77A05"/>
    <w:rsid w:val="00D80EE0"/>
    <w:rsid w:val="00D851B1"/>
    <w:rsid w:val="00D86DC5"/>
    <w:rsid w:val="00D91BCD"/>
    <w:rsid w:val="00D9443C"/>
    <w:rsid w:val="00D95D18"/>
    <w:rsid w:val="00D974EE"/>
    <w:rsid w:val="00DA030F"/>
    <w:rsid w:val="00DA2BA1"/>
    <w:rsid w:val="00DA3FC3"/>
    <w:rsid w:val="00DA5619"/>
    <w:rsid w:val="00DB46DF"/>
    <w:rsid w:val="00DB4BC9"/>
    <w:rsid w:val="00DB4F82"/>
    <w:rsid w:val="00DB5E19"/>
    <w:rsid w:val="00DB6597"/>
    <w:rsid w:val="00DB757B"/>
    <w:rsid w:val="00DC18BF"/>
    <w:rsid w:val="00DC1C4A"/>
    <w:rsid w:val="00DC4F1B"/>
    <w:rsid w:val="00DE17A2"/>
    <w:rsid w:val="00DE45A5"/>
    <w:rsid w:val="00DF4265"/>
    <w:rsid w:val="00DF4B76"/>
    <w:rsid w:val="00DF62F6"/>
    <w:rsid w:val="00E00E93"/>
    <w:rsid w:val="00E01F37"/>
    <w:rsid w:val="00E045FB"/>
    <w:rsid w:val="00E0537C"/>
    <w:rsid w:val="00E100F7"/>
    <w:rsid w:val="00E201ED"/>
    <w:rsid w:val="00E22403"/>
    <w:rsid w:val="00E305F3"/>
    <w:rsid w:val="00E33BF3"/>
    <w:rsid w:val="00E427DE"/>
    <w:rsid w:val="00E45363"/>
    <w:rsid w:val="00E4617D"/>
    <w:rsid w:val="00E46793"/>
    <w:rsid w:val="00E47C5F"/>
    <w:rsid w:val="00E47E3C"/>
    <w:rsid w:val="00E53C6E"/>
    <w:rsid w:val="00E56864"/>
    <w:rsid w:val="00E61872"/>
    <w:rsid w:val="00E645B9"/>
    <w:rsid w:val="00E71796"/>
    <w:rsid w:val="00E73C4A"/>
    <w:rsid w:val="00E749A8"/>
    <w:rsid w:val="00E75042"/>
    <w:rsid w:val="00E7585F"/>
    <w:rsid w:val="00E82C4B"/>
    <w:rsid w:val="00E846C1"/>
    <w:rsid w:val="00E84990"/>
    <w:rsid w:val="00E907B2"/>
    <w:rsid w:val="00E90961"/>
    <w:rsid w:val="00E9111F"/>
    <w:rsid w:val="00E93CBC"/>
    <w:rsid w:val="00E96D0B"/>
    <w:rsid w:val="00EA0CB1"/>
    <w:rsid w:val="00EA5AED"/>
    <w:rsid w:val="00EA63EC"/>
    <w:rsid w:val="00EB425A"/>
    <w:rsid w:val="00EC066D"/>
    <w:rsid w:val="00EC08ED"/>
    <w:rsid w:val="00EC25E3"/>
    <w:rsid w:val="00EC2688"/>
    <w:rsid w:val="00EC3457"/>
    <w:rsid w:val="00EC4246"/>
    <w:rsid w:val="00EC4AAB"/>
    <w:rsid w:val="00EC6CAF"/>
    <w:rsid w:val="00ED3C68"/>
    <w:rsid w:val="00ED6278"/>
    <w:rsid w:val="00EE011A"/>
    <w:rsid w:val="00EE0217"/>
    <w:rsid w:val="00EE444B"/>
    <w:rsid w:val="00EE616F"/>
    <w:rsid w:val="00EE76A9"/>
    <w:rsid w:val="00EF1F1A"/>
    <w:rsid w:val="00EF2742"/>
    <w:rsid w:val="00EF668D"/>
    <w:rsid w:val="00EF7BC3"/>
    <w:rsid w:val="00F10CAD"/>
    <w:rsid w:val="00F1242C"/>
    <w:rsid w:val="00F13221"/>
    <w:rsid w:val="00F16C5A"/>
    <w:rsid w:val="00F236E1"/>
    <w:rsid w:val="00F23DF8"/>
    <w:rsid w:val="00F33905"/>
    <w:rsid w:val="00F372C1"/>
    <w:rsid w:val="00F374BE"/>
    <w:rsid w:val="00F43B17"/>
    <w:rsid w:val="00F47020"/>
    <w:rsid w:val="00F4776B"/>
    <w:rsid w:val="00F505ED"/>
    <w:rsid w:val="00F509F3"/>
    <w:rsid w:val="00F513B2"/>
    <w:rsid w:val="00F51CB2"/>
    <w:rsid w:val="00F55A2D"/>
    <w:rsid w:val="00F5658F"/>
    <w:rsid w:val="00F61CD0"/>
    <w:rsid w:val="00F6712F"/>
    <w:rsid w:val="00F70800"/>
    <w:rsid w:val="00F7350F"/>
    <w:rsid w:val="00F739E2"/>
    <w:rsid w:val="00F754CD"/>
    <w:rsid w:val="00F75681"/>
    <w:rsid w:val="00F76FED"/>
    <w:rsid w:val="00F847BC"/>
    <w:rsid w:val="00F84AD1"/>
    <w:rsid w:val="00F862C5"/>
    <w:rsid w:val="00F929DA"/>
    <w:rsid w:val="00F92BBC"/>
    <w:rsid w:val="00F93870"/>
    <w:rsid w:val="00F94D65"/>
    <w:rsid w:val="00F95150"/>
    <w:rsid w:val="00F963EF"/>
    <w:rsid w:val="00F96BDE"/>
    <w:rsid w:val="00FA0711"/>
    <w:rsid w:val="00FA74B8"/>
    <w:rsid w:val="00FB2E96"/>
    <w:rsid w:val="00FC2C0A"/>
    <w:rsid w:val="00FC3054"/>
    <w:rsid w:val="00FC3E28"/>
    <w:rsid w:val="00FC6E7C"/>
    <w:rsid w:val="00FD3A94"/>
    <w:rsid w:val="00FD6D52"/>
    <w:rsid w:val="00FE5D6D"/>
    <w:rsid w:val="00FE6A01"/>
    <w:rsid w:val="00FF19F7"/>
    <w:rsid w:val="00FF22E1"/>
    <w:rsid w:val="00FF25C0"/>
    <w:rsid w:val="00FF344B"/>
    <w:rsid w:val="00FF384D"/>
    <w:rsid w:val="00FF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AA2"/>
  <w15:chartTrackingRefBased/>
  <w15:docId w15:val="{D7D0D8B1-53C0-438F-8215-491E3A73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502"/>
    <w:pPr>
      <w:ind w:left="720"/>
      <w:contextualSpacing/>
    </w:pPr>
  </w:style>
  <w:style w:type="character" w:customStyle="1" w:styleId="s4ffb248f1">
    <w:name w:val="s_4ffb248f1"/>
    <w:basedOn w:val="DefaultParagraphFont"/>
    <w:rsid w:val="00B90552"/>
    <w:rPr>
      <w:rFonts w:ascii="Times New Roman" w:hAnsi="Times New Roman" w:cs="Times New Roman" w:hint="default"/>
      <w:color w:val="000000"/>
      <w:sz w:val="28"/>
      <w:szCs w:val="28"/>
    </w:rPr>
  </w:style>
  <w:style w:type="character" w:styleId="PageNumber">
    <w:name w:val="page number"/>
    <w:basedOn w:val="DefaultParagraphFont"/>
    <w:uiPriority w:val="99"/>
    <w:rsid w:val="00C73D58"/>
    <w:rPr>
      <w:rFonts w:cs="Times New Roman"/>
    </w:rPr>
  </w:style>
  <w:style w:type="paragraph" w:styleId="BalloonText">
    <w:name w:val="Balloon Text"/>
    <w:basedOn w:val="Normal"/>
    <w:link w:val="BalloonTextChar"/>
    <w:uiPriority w:val="99"/>
    <w:semiHidden/>
    <w:unhideWhenUsed/>
    <w:rsid w:val="00771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77"/>
    <w:rPr>
      <w:rFonts w:ascii="Segoe UI" w:hAnsi="Segoe UI" w:cs="Segoe UI"/>
      <w:sz w:val="18"/>
      <w:szCs w:val="18"/>
    </w:rPr>
  </w:style>
  <w:style w:type="character" w:styleId="Hyperlink">
    <w:name w:val="Hyperlink"/>
    <w:basedOn w:val="DefaultParagraphFont"/>
    <w:uiPriority w:val="99"/>
    <w:unhideWhenUsed/>
    <w:rsid w:val="00B31411"/>
    <w:rPr>
      <w:color w:val="0563C1" w:themeColor="hyperlink"/>
      <w:u w:val="single"/>
    </w:rPr>
  </w:style>
  <w:style w:type="character" w:styleId="FollowedHyperlink">
    <w:name w:val="FollowedHyperlink"/>
    <w:basedOn w:val="DefaultParagraphFont"/>
    <w:uiPriority w:val="99"/>
    <w:semiHidden/>
    <w:unhideWhenUsed/>
    <w:rsid w:val="008056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denver.edu/faculty_staff/employees/policies/Policies%20Library/Admin/Reserve%20Fund%20Policy%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denver.edu/about/departments/Budget/TuitionFeesPolicy/Documents/FY%2018-19%20Process%20and%20Timeline.docx" TargetMode="External"/><Relationship Id="rId5" Type="http://schemas.openxmlformats.org/officeDocument/2006/relationships/hyperlink" Target="http://www.ucdenver.edu/about/departments/Budget/TuitionFeesPolicy/Documents/FY%2016-17%20Student%20Fee%20Plan%20FINAL.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Kim</dc:creator>
  <cp:keywords/>
  <dc:description/>
  <cp:lastModifiedBy>St peter, Jennifer</cp:lastModifiedBy>
  <cp:revision>6</cp:revision>
  <cp:lastPrinted>2017-04-06T20:11:00Z</cp:lastPrinted>
  <dcterms:created xsi:type="dcterms:W3CDTF">2017-05-26T18:58:00Z</dcterms:created>
  <dcterms:modified xsi:type="dcterms:W3CDTF">2017-08-01T19:23:00Z</dcterms:modified>
</cp:coreProperties>
</file>